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Data Justifications</w:t>
      </w:r>
      <w:r>
        <w:rPr>
          <w:rFonts w:ascii="Garamond" w:hAnsi="Garamond"/>
        </w:rPr>
        <w:t xml:space="preserve">
</w:t>
      </w:r>
    </w:p>
    <w:p>
      <w:r>
        <w:rPr>
          <w:rFonts w:ascii="Garamond" w:hAnsi="Garamond"/>
        </w:rPr>
        <w:t>
</w:t>
      </w:r>
    </w:p>
    <w:p>
      <w:r>
        <w:rPr>
          <w:rFonts w:ascii="Garamond" w:hAnsi="Garamond"/>
        </w:rPr>
        <w:t/>
      </w:r>
      <w:r>
        <w:rPr>
          <w:rFonts w:ascii="Garamond" w:hAnsi="Garamond"/>
          <w:b/>
          <w:u w:val="single"/>
        </w:rPr>
        <w:t xml:space="preserve">Part A</w:t>
      </w:r>
      <w:r>
        <w:rPr>
          <w:rFonts w:ascii="Garamond" w:hAnsi="Garamond"/>
        </w:rPr>
        <w:t xml:space="preserve">
</w:t>
      </w:r>
    </w:p>
    <w:p>
      <w:r>
        <w:rPr>
          <w:rFonts w:ascii="Garamond" w:hAnsi="Garamond"/>
        </w:rPr>
        <w:t>
</w:t>
      </w:r>
    </w:p>
    <w:p>
      <w:r>
        <w:rPr>
          <w:rFonts w:ascii="Garamond" w:hAnsi="Garamond"/>
        </w:rPr>
        <w:t/>
      </w:r>
      <w:r>
        <w:rPr>
          <w:rFonts w:ascii="Garamond" w:hAnsi="Garamond"/>
          <w:b/>
        </w:rPr>
        <w:t xml:space="preserve">A-III. Central District Costs</w:t>
      </w:r>
      <w:r>
        <w:rPr>
          <w:rFonts w:ascii="Garamond" w:hAnsi="Garamond"/>
        </w:rPr>
        <w:t xml:space="preserve">
</w:t>
      </w:r>
    </w:p>
    <w:p>
      <w:r>
        <w:rPr>
          <w:rFonts w:ascii="Garamond" w:hAnsi="Garamond"/>
        </w:rPr>
        <w:t>1.</w:t>
      </w:r>
      <w:r>
        <w:rPr>
          <w:rFonts w:ascii="Garamond" w:hAnsi="Garamond"/>
          <w:b/>
        </w:rPr>
        <w:t xml:space="preserve">Threshold Triggered:</w:t>
      </w:r>
      <w:r>
        <w:rPr>
          <w:rFonts w:ascii="Garamond" w:hAnsi="Garamond"/>
        </w:rPr>
        <w:t xml:space="preserve"> The total spending per FTE amount for Other Central Services, calculated by dividing total spending by the reported number of FTEs, is below $40,000 � a relatively low rate compared to the statewide average. Please review and revise the entered data or provide a justification below for this significant variance. 
</w:t>
      </w:r>
    </w:p>
    <w:p>
      <w:r>
        <w:rPr>
          <w:rFonts w:ascii="Garamond" w:hAnsi="Garamond"/>
        </w:rPr>
        <w:t/>
      </w:r>
    </w:p>
    <w:tbl>
      <w:tr>
        <w:tc>
          <w:p>
            <w:r>
              <w:rPr>
                <w:rFonts w:ascii="Garamond" w:hAnsi="Garamond"/>
                <w:b/>
              </w:rPr>
              <w:t xml:space="preserve">Field</w:t>
            </w:r>
            <w:r>
              <w:rPr>
                <w:rFonts w:ascii="Garamond" w:hAnsi="Garamond"/>
              </w:rPr>
            </w:r>
          </w:p>
        </w:tc>
        <w:tc>
          <w:p>
            <w:r>
              <w:rPr>
                <w:rFonts w:ascii="Garamond" w:hAnsi="Garamond"/>
                <w:b/>
              </w:rPr>
              <w:t xml:space="preserve">State/Local Funding</w:t>
            </w:r>
            <w:r>
              <w:rPr>
                <w:rFonts w:ascii="Garamond" w:hAnsi="Garamond"/>
              </w:rPr>
            </w:r>
          </w:p>
        </w:tc>
        <w:tc>
          <w:p>
            <w:r>
              <w:rPr>
                <w:rFonts w:ascii="Garamond" w:hAnsi="Garamond"/>
                <w:b/>
              </w:rPr>
              <w:t xml:space="preserve">+</w:t>
            </w:r>
            <w:r>
              <w:rPr>
                <w:rFonts w:ascii="Garamond" w:hAnsi="Garamond"/>
              </w:rPr>
            </w:r>
          </w:p>
        </w:tc>
        <w:tc>
          <w:p>
            <w:r>
              <w:rPr>
                <w:rFonts w:ascii="Garamond" w:hAnsi="Garamond"/>
                <w:b/>
              </w:rPr>
              <w:t xml:space="preserve">Federal Funding</w:t>
            </w:r>
            <w:r>
              <w:rPr>
                <w:rFonts w:ascii="Garamond" w:hAnsi="Garamond"/>
              </w:rPr>
            </w:r>
          </w:p>
        </w:tc>
        <w:tc>
          <w:p>
            <w:r>
              <w:rPr>
                <w:rFonts w:ascii="Garamond" w:hAnsi="Garamond"/>
                <w:b/>
              </w:rPr>
              <w:t xml:space="preserve">=</w:t>
            </w:r>
            <w:r>
              <w:rPr>
                <w:rFonts w:ascii="Garamond" w:hAnsi="Garamond"/>
              </w:rPr>
            </w:r>
          </w:p>
        </w:tc>
        <w:tc>
          <w:p>
            <w:r>
              <w:rPr>
                <w:rFonts w:ascii="Garamond" w:hAnsi="Garamond"/>
                <w:b/>
              </w:rPr>
              <w:t xml:space="preserve">Total</w:t>
            </w:r>
            <w:r>
              <w:rPr>
                <w:rFonts w:ascii="Garamond" w:hAnsi="Garamond"/>
              </w:rPr>
            </w:r>
          </w:p>
        </w:tc>
        <w:tc>
          <w:p>
            <w:r>
              <w:rPr>
                <w:rFonts w:ascii="Garamond" w:hAnsi="Garamond"/>
                <w:b/>
              </w:rPr>
              <w:t xml:space="preserve">/</w:t>
            </w:r>
            <w:r>
              <w:rPr>
                <w:rFonts w:ascii="Garamond" w:hAnsi="Garamond"/>
              </w:rPr>
            </w:r>
          </w:p>
        </w:tc>
        <w:tc>
          <w:p>
            <w:r>
              <w:rPr>
                <w:rFonts w:ascii="Garamond" w:hAnsi="Garamond"/>
                <w:b/>
              </w:rPr>
              <w:t xml:space="preserve">Total FTEs</w:t>
            </w:r>
            <w:r>
              <w:rPr>
                <w:rFonts w:ascii="Garamond" w:hAnsi="Garamond"/>
              </w:rPr>
            </w:r>
          </w:p>
        </w:tc>
        <w:tc>
          <w:p>
            <w:r>
              <w:rPr>
                <w:rFonts w:ascii="Garamond" w:hAnsi="Garamond"/>
                <w:b/>
              </w:rPr>
              <w:t xml:space="preserve">=</w:t>
            </w:r>
            <w:r>
              <w:rPr>
                <w:rFonts w:ascii="Garamond" w:hAnsi="Garamond"/>
              </w:rPr>
            </w:r>
          </w:p>
        </w:tc>
        <w:tc>
          <w:p>
            <w:r>
              <w:rPr>
                <w:rFonts w:ascii="Garamond" w:hAnsi="Garamond"/>
                <w:b/>
              </w:rPr>
              <w:t xml:space="preserve">Per FTE</w:t>
            </w:r>
            <w:r>
              <w:rPr>
                <w:rFonts w:ascii="Garamond" w:hAnsi="Garamond"/>
              </w:rPr>
            </w:r>
          </w:p>
        </w:tc>
      </w:tr>
      <w:tr>
        <w:tc>
          <w:p>
            <w:r>
              <w:rPr>
                <w:rFonts w:ascii="Garamond" w:hAnsi="Garamond"/>
              </w:rPr>
              <w:t xml:space="preserve">Other Central Services </w:t>
            </w:r>
          </w:p>
        </w:tc>
        <w:tc>
          <w:p>
            <w:r>
              <w:rPr>
                <w:rFonts w:ascii="Garamond" w:hAnsi="Garamond"/>
              </w:rPr>
              <w:t xml:space="preserve">508,239</w:t>
            </w:r>
          </w:p>
        </w:tc>
        <w:tc>
          <w:p>
            <w:r>
              <w:rPr>
                <w:rFonts w:ascii="Garamond" w:hAnsi="Garamond"/>
              </w:rPr>
            </w:r>
          </w:p>
        </w:tc>
        <w:tc>
          <w:p>
            <w:r>
              <w:rPr>
                <w:rFonts w:ascii="Garamond" w:hAnsi="Garamond"/>
              </w:rPr>
              <w:t xml:space="preserve">0</w:t>
            </w:r>
          </w:p>
        </w:tc>
        <w:tc>
          <w:p>
            <w:r>
              <w:rPr>
                <w:rFonts w:ascii="Garamond" w:hAnsi="Garamond"/>
              </w:rPr>
            </w:r>
          </w:p>
        </w:tc>
        <w:tc>
          <w:p>
            <w:r>
              <w:rPr>
                <w:rFonts w:ascii="Garamond" w:hAnsi="Garamond"/>
              </w:rPr>
              <w:t xml:space="preserve">$508,239</w:t>
            </w:r>
          </w:p>
        </w:tc>
        <w:tc>
          <w:p>
            <w:r>
              <w:rPr>
                <w:rFonts w:ascii="Garamond" w:hAnsi="Garamond"/>
              </w:rPr>
            </w:r>
          </w:p>
        </w:tc>
        <w:tc>
          <w:p>
            <w:r>
              <w:rPr>
                <w:rFonts w:ascii="Garamond" w:hAnsi="Garamond"/>
              </w:rPr>
              <w:t xml:space="preserve">0</w:t>
            </w:r>
          </w:p>
        </w:tc>
        <w:tc>
          <w:p>
            <w:r>
              <w:rPr>
                <w:rFonts w:ascii="Garamond" w:hAnsi="Garamond"/>
              </w:rPr>
            </w:r>
          </w:p>
        </w:tc>
        <w:tc>
          <w:p>
            <w:r>
              <w:rPr>
                <w:rFonts w:ascii="Garamond" w:hAnsi="Garamond"/>
                <w:b/>
              </w:rPr>
              <w:t xml:space="preserve">$0.00</w:t>
            </w:r>
            <w:r>
              <w:rPr>
                <w:rFonts w:ascii="Garamond" w:hAnsi="Garamond"/>
              </w:rPr>
            </w:r>
          </w:p>
        </w:tc>
      </w:tr>
    </w:tbl>
    <w:p>
      <w:r>
        <w:rPr>
          <w:rFonts w:ascii="Garamond" w:hAnsi="Garamond"/>
        </w:rPr>
        <w:t xml:space="preserve">
</w:t>
      </w:r>
    </w:p>
    <w:p>
      <w:r>
        <w:rPr>
          <w:rFonts w:ascii="Garamond" w:hAnsi="Garamond"/>
        </w:rPr>
        <w:t/>
      </w:r>
      <w:r>
        <w:rPr>
          <w:rFonts w:ascii="Garamond" w:hAnsi="Garamond"/>
          <w:b/>
        </w:rPr>
        <w:t xml:space="preserve">District Justification </w:t>
      </w:r>
      <w:r>
        <w:rPr>
          <w:rFonts w:ascii="Garamond" w:hAnsi="Garamond"/>
        </w:rPr>
        <w:t xml:space="preserve">
</w:t>
      </w:r>
    </w:p>
    <w:p>
      <w:r>
        <w:rPr>
          <w:rFonts w:ascii="Garamond" w:hAnsi="Garamond"/>
        </w:rPr>
        <w:t>We have no personnel FTE expenditures in these codes, only equipment, contractual costs, BOCES costs, and materials &amp; supplies.
</w:t>
      </w:r>
    </w:p>
    <w:p>
      <w:r>
        <w:rPr>
          <w:rFonts w:ascii="Garamond" w:hAnsi="Garamond"/>
        </w:rPr>
        <w:t>
</w:t>
      </w:r>
    </w:p>
    <w:p>
      <w:r>
        <w:rPr>
          <w:rFonts w:ascii="Garamond" w:hAnsi="Garamond"/>
        </w:rPr>
        <w:t>2.</w:t>
      </w:r>
      <w:r>
        <w:rPr>
          <w:rFonts w:ascii="Garamond" w:hAnsi="Garamond"/>
          <w:b/>
        </w:rPr>
        <w:t xml:space="preserve">Threshold Triggered:</w:t>
      </w:r>
      <w:r>
        <w:rPr>
          <w:rFonts w:ascii="Garamond" w:hAnsi="Garamond"/>
        </w:rPr>
        <w:t xml:space="preserve"> The total spending amount entered for OPEB is greater than 7% of the district�s "Total Major Operating Funds" entered on line 5 of Part A-II, a significant deviation from the statewide average. Please review and revise the entered data or provide a justification below for this variance. 
</w:t>
      </w:r>
    </w:p>
    <w:p>
      <w:r>
        <w:rPr>
          <w:rFonts w:ascii="Garamond" w:hAnsi="Garamond"/>
        </w:rPr>
        <w:t/>
      </w:r>
    </w:p>
    <w:tbl>
      <w:tr>
        <w:tc>
          <w:p>
            <w:r>
              <w:rPr>
                <w:rFonts w:ascii="Garamond" w:hAnsi="Garamond"/>
                <w:b/>
              </w:rPr>
              <w:t xml:space="preserve">Field</w:t>
            </w:r>
            <w:r>
              <w:rPr>
                <w:rFonts w:ascii="Garamond" w:hAnsi="Garamond"/>
              </w:rPr>
            </w:r>
          </w:p>
        </w:tc>
        <w:tc>
          <w:p>
            <w:r>
              <w:rPr>
                <w:rFonts w:ascii="Garamond" w:hAnsi="Garamond"/>
                <w:b/>
              </w:rPr>
              <w:t xml:space="preserve">State/Local Funding</w:t>
            </w:r>
            <w:r>
              <w:rPr>
                <w:rFonts w:ascii="Garamond" w:hAnsi="Garamond"/>
              </w:rPr>
            </w:r>
          </w:p>
        </w:tc>
        <w:tc>
          <w:p>
            <w:r>
              <w:rPr>
                <w:rFonts w:ascii="Garamond" w:hAnsi="Garamond"/>
                <w:b/>
              </w:rPr>
              <w:t xml:space="preserve">+</w:t>
            </w:r>
            <w:r>
              <w:rPr>
                <w:rFonts w:ascii="Garamond" w:hAnsi="Garamond"/>
              </w:rPr>
            </w:r>
          </w:p>
        </w:tc>
        <w:tc>
          <w:p>
            <w:r>
              <w:rPr>
                <w:rFonts w:ascii="Garamond" w:hAnsi="Garamond"/>
                <w:b/>
              </w:rPr>
              <w:t xml:space="preserve">Federal Funding</w:t>
            </w:r>
            <w:r>
              <w:rPr>
                <w:rFonts w:ascii="Garamond" w:hAnsi="Garamond"/>
              </w:rPr>
            </w:r>
          </w:p>
        </w:tc>
        <w:tc>
          <w:p>
            <w:r>
              <w:rPr>
                <w:rFonts w:ascii="Garamond" w:hAnsi="Garamond"/>
                <w:b/>
              </w:rPr>
              <w:t xml:space="preserve">=</w:t>
            </w:r>
            <w:r>
              <w:rPr>
                <w:rFonts w:ascii="Garamond" w:hAnsi="Garamond"/>
              </w:rPr>
            </w:r>
          </w:p>
        </w:tc>
        <w:tc>
          <w:p>
            <w:r>
              <w:rPr>
                <w:rFonts w:ascii="Garamond" w:hAnsi="Garamond"/>
                <w:b/>
              </w:rPr>
              <w:t xml:space="preserve">Total</w:t>
            </w:r>
            <w:r>
              <w:rPr>
                <w:rFonts w:ascii="Garamond" w:hAnsi="Garamond"/>
              </w:rPr>
            </w:r>
          </w:p>
        </w:tc>
      </w:tr>
      <w:tr>
        <w:tc>
          <w:p>
            <w:r>
              <w:rPr>
                <w:rFonts w:ascii="Garamond" w:hAnsi="Garamond"/>
              </w:rPr>
              <w:t xml:space="preserve">OPEB </w:t>
            </w:r>
          </w:p>
        </w:tc>
        <w:tc>
          <w:p>
            <w:r>
              <w:rPr>
                <w:rFonts w:ascii="Garamond" w:hAnsi="Garamond"/>
              </w:rPr>
              <w:t xml:space="preserve">                2,851,732</w:t>
            </w:r>
          </w:p>
        </w:tc>
        <w:tc>
          <w:p>
            <w:r>
              <w:rPr>
                <w:rFonts w:ascii="Garamond" w:hAnsi="Garamond"/>
              </w:rPr>
            </w:r>
          </w:p>
        </w:tc>
        <w:tc>
          <w:p>
            <w:r>
              <w:rPr>
                <w:rFonts w:ascii="Garamond" w:hAnsi="Garamond"/>
              </w:rPr>
              <w:t xml:space="preserve">                        0</w:t>
            </w:r>
          </w:p>
        </w:tc>
        <w:tc>
          <w:p>
            <w:r>
              <w:rPr>
                <w:rFonts w:ascii="Garamond" w:hAnsi="Garamond"/>
              </w:rPr>
            </w:r>
          </w:p>
        </w:tc>
        <w:tc>
          <w:p>
            <w:r>
              <w:rPr>
                <w:rFonts w:ascii="Garamond" w:hAnsi="Garamond"/>
              </w:rPr>
              <w:t xml:space="preserve">$2,851,732</w:t>
            </w:r>
          </w:p>
          <w:p>
            <w:r>
              <w:rPr>
                <w:rFonts w:ascii="Garamond" w:hAnsi="Garamond"/>
              </w:rPr>
              <w:t xml:space="preserve">Total Major Operating Funds Spending</w:t>
            </w:r>
          </w:p>
        </w:tc>
      </w:tr>
      <w:tr>
        <w:tc>
          <w:p>
            <w:r>
              <w:rPr>
                <w:rFonts w:ascii="Garamond" w:hAnsi="Garamond"/>
              </w:rPr>
              <w:t xml:space="preserve">31,118,531</w:t>
            </w:r>
          </w:p>
        </w:tc>
        <w:tc>
          <w:p>
            <w:r>
              <w:rPr>
                <w:rFonts w:ascii="Garamond" w:hAnsi="Garamond"/>
              </w:rPr>
            </w:r>
          </w:p>
        </w:tc>
        <w:tc>
          <w:p>
            <w:r>
              <w:rPr>
                <w:rFonts w:ascii="Garamond" w:hAnsi="Garamond"/>
              </w:rPr>
              <w:t xml:space="preserve">850,330</w:t>
            </w:r>
          </w:p>
        </w:tc>
        <w:tc>
          <w:p>
            <w:r>
              <w:rPr>
                <w:rFonts w:ascii="Garamond" w:hAnsi="Garamond"/>
              </w:rPr>
            </w:r>
          </w:p>
        </w:tc>
        <w:tc>
          <w:p>
            <w:r>
              <w:rPr>
                <w:rFonts w:ascii="Garamond" w:hAnsi="Garamond"/>
              </w:rPr>
              <w:t xml:space="preserve">$31,968,861</w:t>
            </w:r>
          </w:p>
        </w:tc>
      </w:tr>
      <w:tr>
        <w:tc>
          <w:tcPr>
            <w:gridSpan w:val="4"/>
          </w:tcPr>
          <w:p>
            <w:r>
              <w:rPr>
                <w:rFonts w:ascii="Garamond" w:hAnsi="Garamond"/>
                <w:b/>
              </w:rPr>
              <w:t xml:space="preserve">Percentage of Total Major Operating Funds Spending </w:t>
            </w:r>
            <w:r>
              <w:rPr>
                <w:rFonts w:ascii="Garamond" w:hAnsi="Garamond"/>
              </w:rPr>
            </w:r>
          </w:p>
        </w:tc>
        <w:tc>
          <w:p>
            <w:r>
              <w:rPr>
                <w:rFonts w:ascii="Garamond" w:hAnsi="Garamond"/>
                <w:b/>
              </w:rPr>
              <w:t xml:space="preserve">=</w:t>
            </w:r>
            <w:r>
              <w:rPr>
                <w:rFonts w:ascii="Garamond" w:hAnsi="Garamond"/>
              </w:rPr>
            </w:r>
          </w:p>
        </w:tc>
        <w:tc>
          <w:p>
            <w:r>
              <w:rPr>
                <w:rFonts w:ascii="Garamond" w:hAnsi="Garamond"/>
                <w:b/>
              </w:rPr>
              <w:t xml:space="preserve">8.92%</w:t>
            </w:r>
            <w:r>
              <w:rPr>
                <w:rFonts w:ascii="Garamond" w:hAnsi="Garamond"/>
              </w:rPr>
            </w:r>
          </w:p>
        </w:tc>
      </w:tr>
    </w:tbl>
    <w:p>
      <w:r>
        <w:rPr>
          <w:rFonts w:ascii="Garamond" w:hAnsi="Garamond"/>
        </w:rPr>
        <w:t xml:space="preserve">
</w:t>
      </w:r>
    </w:p>
    <w:p>
      <w:r>
        <w:rPr>
          <w:rFonts w:ascii="Garamond" w:hAnsi="Garamond"/>
        </w:rPr>
        <w:t/>
      </w:r>
      <w:r>
        <w:rPr>
          <w:rFonts w:ascii="Garamond" w:hAnsi="Garamond"/>
          <w:b/>
        </w:rPr>
        <w:t xml:space="preserve">District Justification </w:t>
      </w:r>
      <w:r>
        <w:rPr>
          <w:rFonts w:ascii="Garamond" w:hAnsi="Garamond"/>
        </w:rPr>
        <w:t xml:space="preserve"> 
</w:t>
      </w:r>
    </w:p>
    <w:p>
      <w:r>
        <w:rPr>
          <w:rFonts w:ascii="Garamond" w:hAnsi="Garamond"/>
        </w:rPr>
        <w:t>1.  We currently have more retirees using district health insurance than we do active employees.  
</w:t>
      </w:r>
    </w:p>
    <w:p>
      <w:r>
        <w:rPr>
          <w:rFonts w:ascii="Garamond" w:hAnsi="Garamond"/>
        </w:rPr>
        <w:t>2.  In general, the retirees cost the district more as some of them have a lower premium share than the actives do, due to contract negotiations through the years.  Some even have Medicare reimbursement paid by the District.  
</w:t>
      </w:r>
    </w:p>
    <w:p>
      <w:r>
        <w:rPr>
          <w:rFonts w:ascii="Garamond" w:hAnsi="Garamond"/>
        </w:rPr>
        <w:t>3.  Additionally, we tend to have lower pay rates that many of the surrounding districts, thereby increasing the benefit-to-pay ratio.  This is reflected in our GASB 75 report annual as well.  
</w:t>
      </w:r>
    </w:p>
    <w:p>
      <w:r>
        <w:rPr>
          <w:rFonts w:ascii="Garamond" w:hAnsi="Garamond"/>
        </w:rPr>
        <w:t>
</w:t>
      </w:r>
    </w:p>
    <w:p>
      <w:r>
        <w:rPr>
          <w:rFonts w:ascii="Garamond" w:hAnsi="Garamond"/>
        </w:rPr>
        <w:t>These things combine together to make our retiree healthcare percentage of total major operating fund spending higher than average.  We continue to address the cost of healthcare during the negotiation process.  We have made some gains in recent years, but it will take years to realize the full fruits of our labors in this regard as retirees are living longer.
</w:t>
      </w:r>
    </w:p>
    <w:p>
      <w:r>
        <w:rPr>
          <w:rFonts w:ascii="Garamond" w:hAnsi="Garamond"/>
        </w:rPr>
        <w:t>
</w:t>
      </w:r>
    </w:p>
    <w:p>
      <w:r>
        <w:rPr>
          <w:rFonts w:ascii="Garamond" w:hAnsi="Garamond"/>
        </w:rP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